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四川能投数产公司</w:t>
      </w:r>
    </w:p>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岗位说明书及任职资格</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47" w:type="dxa"/>
            <w:noWrap w:val="0"/>
            <w:vAlign w:val="center"/>
          </w:tcPr>
          <w:p>
            <w:pPr>
              <w:adjustRightInd w:val="0"/>
              <w:snapToGrid w:val="0"/>
              <w:spacing w:line="240" w:lineRule="auto"/>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lang w:val="en-US" w:eastAsia="zh-CN"/>
              </w:rPr>
              <w:t>岗位</w:t>
            </w:r>
            <w:r>
              <w:rPr>
                <w:rFonts w:hint="eastAsia" w:ascii="仿宋_GB2312" w:hAnsi="仿宋_GB2312" w:eastAsia="仿宋_GB2312" w:cs="仿宋_GB2312"/>
                <w:b/>
                <w:sz w:val="28"/>
                <w:szCs w:val="28"/>
              </w:rPr>
              <w:t>名称</w:t>
            </w:r>
          </w:p>
        </w:tc>
        <w:tc>
          <w:tcPr>
            <w:tcW w:w="8034" w:type="dxa"/>
            <w:noWrap w:val="0"/>
            <w:vAlign w:val="center"/>
          </w:tcPr>
          <w:p>
            <w:pPr>
              <w:adjustRightInd w:val="0"/>
              <w:snapToGrid w:val="0"/>
              <w:spacing w:line="240" w:lineRule="auto"/>
              <w:ind w:firstLine="600" w:firstLineChars="0"/>
              <w:jc w:val="both"/>
              <w:rPr>
                <w:rFonts w:hint="default" w:ascii="仿宋_GB2312" w:hAnsi="仿宋_GB2312" w:eastAsia="仿宋_GB2312" w:cs="仿宋_GB2312"/>
                <w:sz w:val="28"/>
                <w:szCs w:val="28"/>
                <w:vertAlign w:val="baseline"/>
                <w:lang w:val="en-US"/>
              </w:rPr>
            </w:pPr>
            <w:r>
              <w:rPr>
                <w:rFonts w:hint="eastAsia" w:ascii="仿宋_GB2312" w:hAnsi="仿宋_GB2312" w:eastAsia="仿宋_GB2312" w:cs="仿宋_GB2312"/>
                <w:bCs/>
                <w:sz w:val="28"/>
                <w:szCs w:val="28"/>
                <w:lang w:val="en-US" w:eastAsia="zh-CN"/>
              </w:rPr>
              <w:t>财务部部长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47" w:type="dxa"/>
            <w:noWrap w:val="0"/>
            <w:vAlign w:val="center"/>
          </w:tcPr>
          <w:p>
            <w:pPr>
              <w:adjustRightInd w:val="0"/>
              <w:snapToGrid w:val="0"/>
              <w:spacing w:line="240" w:lineRule="auto"/>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rPr>
              <w:t>职位概述</w:t>
            </w:r>
          </w:p>
        </w:tc>
        <w:tc>
          <w:tcPr>
            <w:tcW w:w="8034" w:type="dxa"/>
            <w:noWrap w:val="0"/>
            <w:vAlign w:val="center"/>
          </w:tcPr>
          <w:p>
            <w:pPr>
              <w:adjustRightInd w:val="0"/>
              <w:snapToGrid w:val="0"/>
              <w:spacing w:line="240" w:lineRule="auto"/>
              <w:ind w:firstLine="600" w:firstLineChars="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bCs/>
                <w:sz w:val="28"/>
                <w:szCs w:val="28"/>
                <w:lang w:val="en-US" w:eastAsia="zh-CN"/>
              </w:rPr>
              <w:t>全面负责公司财务部工作。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trPr>
        <w:tc>
          <w:tcPr>
            <w:tcW w:w="1747" w:type="dxa"/>
            <w:noWrap w:val="0"/>
            <w:vAlign w:val="center"/>
          </w:tcPr>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要</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pPr>
              <w:adjustRightInd w:val="0"/>
              <w:snapToGrid w:val="0"/>
              <w:spacing w:line="240" w:lineRule="auto"/>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rPr>
              <w:t>责</w:t>
            </w:r>
          </w:p>
        </w:tc>
        <w:tc>
          <w:tcPr>
            <w:tcW w:w="8034" w:type="dxa"/>
            <w:noWrap w:val="0"/>
            <w:vAlign w:val="center"/>
          </w:tcPr>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kern w:val="2"/>
                <w:sz w:val="28"/>
                <w:szCs w:val="28"/>
                <w:highlight w:val="none"/>
                <w:lang w:val="en-US" w:eastAsia="zh-CN" w:bidi="ar-SA"/>
              </w:rPr>
              <w:t>、参与公司重大财务决策，根据公司发展战略，负责制定财务规划；</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2、根据现有的经营状况和国家制度提出有效可行经营建议，实现公司利润最大化；</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3、负责公司财务、审计制度体系搭建；</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bCs/>
                <w:sz w:val="28"/>
                <w:szCs w:val="28"/>
                <w:lang w:val="en-US" w:eastAsia="zh-CN"/>
              </w:rPr>
              <w:t>全面负责公司财务、审计条线管理工作；</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5、负责公司财务人员队伍建设与管理；</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6、负责下属员工的业务指导、监督和考核；</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7、对接及承办能投集团财务管理部（资金结算中心）相关工作；</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8、对所属企业开展财务收支、资产质量、业务运营、经营绩效等专项审计；</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9、负责公司及所属企业对外投资、并购等事项的财务尽调；</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10、负责指导、监督及评价所属公司财务、审计管理工作；</w:t>
            </w:r>
          </w:p>
          <w:p>
            <w:pPr>
              <w:adjustRightInd w:val="0"/>
              <w:snapToGrid w:val="0"/>
              <w:spacing w:line="240" w:lineRule="auto"/>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2"/>
                <w:sz w:val="28"/>
                <w:szCs w:val="28"/>
                <w:highlight w:val="none"/>
                <w:lang w:val="en-US" w:eastAsia="zh-CN" w:bidi="ar-SA"/>
              </w:rPr>
              <w:t>11、领导交办的其他工作。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1747" w:type="dxa"/>
            <w:noWrap w:val="0"/>
            <w:vAlign w:val="center"/>
          </w:tcPr>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任</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w:t>
            </w:r>
          </w:p>
          <w:p>
            <w:pPr>
              <w:adjustRightInd w:val="0"/>
              <w:snapToGrid w:val="0"/>
              <w:spacing w:line="240" w:lineRule="auto"/>
              <w:ind w:right="113"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rPr>
              <w:t>格</w:t>
            </w:r>
          </w:p>
        </w:tc>
        <w:tc>
          <w:tcPr>
            <w:tcW w:w="8034" w:type="dxa"/>
            <w:noWrap w:val="0"/>
            <w:vAlign w:val="center"/>
          </w:tcPr>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1、50岁及以下（特别优秀者可放宽），会计、财务管理等相关专业本科及以上学历，持中级及以上会计师资格证；</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2、10年及以上工作经历，5年及以上财务管理岗位工作经历；</w:t>
            </w:r>
          </w:p>
          <w:p>
            <w:pPr>
              <w:adjustRightInd w:val="0"/>
              <w:snapToGrid w:val="0"/>
              <w:spacing w:line="240" w:lineRule="auto"/>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3、具有大型国有企业财务管理岗位工作经验和财务合并工作经验者优先；</w:t>
            </w:r>
          </w:p>
          <w:p>
            <w:pPr>
              <w:adjustRightInd w:val="0"/>
              <w:snapToGrid w:val="0"/>
              <w:spacing w:line="240" w:lineRule="auto"/>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2"/>
                <w:sz w:val="28"/>
                <w:szCs w:val="28"/>
                <w:highlight w:val="none"/>
                <w:lang w:val="en-US" w:eastAsia="zh-CN" w:bidi="ar-SA"/>
              </w:rPr>
              <w:t>4、熟悉税务筹划，熟练操作财务软件；</w:t>
            </w:r>
          </w:p>
        </w:tc>
      </w:tr>
    </w:tbl>
    <w:p>
      <w:pPr>
        <w:spacing w:line="560" w:lineRule="exact"/>
        <w:jc w:val="both"/>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tbl>
      <w:tblPr>
        <w:tblStyle w:val="7"/>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trPr>
        <w:tc>
          <w:tcPr>
            <w:tcW w:w="1734" w:type="dxa"/>
            <w:noWrap w:val="0"/>
            <w:vAlign w:val="center"/>
          </w:tcPr>
          <w:p>
            <w:pPr>
              <w:adjustRightInd w:val="0"/>
              <w:snapToGrid w:val="0"/>
              <w:spacing w:line="240" w:lineRule="auto"/>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lang w:val="en-US" w:eastAsia="zh-CN"/>
              </w:rPr>
              <w:t>岗位</w:t>
            </w:r>
            <w:r>
              <w:rPr>
                <w:rFonts w:hint="eastAsia" w:ascii="仿宋_GB2312" w:hAnsi="仿宋_GB2312" w:eastAsia="仿宋_GB2312" w:cs="仿宋_GB2312"/>
                <w:b/>
                <w:sz w:val="28"/>
                <w:szCs w:val="28"/>
              </w:rPr>
              <w:t>名称</w:t>
            </w:r>
          </w:p>
        </w:tc>
        <w:tc>
          <w:tcPr>
            <w:tcW w:w="7402" w:type="dxa"/>
            <w:noWrap w:val="0"/>
            <w:vAlign w:val="center"/>
          </w:tcPr>
          <w:p>
            <w:pPr>
              <w:adjustRightInd w:val="0"/>
              <w:snapToGrid w:val="0"/>
              <w:spacing w:line="240" w:lineRule="auto"/>
              <w:ind w:firstLine="600" w:firstLineChars="0"/>
              <w:jc w:val="both"/>
              <w:rPr>
                <w:rFonts w:hint="default" w:ascii="仿宋_GB2312" w:hAnsi="仿宋_GB2312" w:eastAsia="仿宋_GB2312" w:cs="仿宋_GB2312"/>
                <w:sz w:val="28"/>
                <w:szCs w:val="28"/>
                <w:vertAlign w:val="baseline"/>
                <w:lang w:val="en-US"/>
              </w:rPr>
            </w:pPr>
            <w:r>
              <w:rPr>
                <w:rFonts w:hint="eastAsia" w:ascii="仿宋_GB2312" w:hAnsi="仿宋_GB2312" w:eastAsia="仿宋_GB2312" w:cs="仿宋_GB2312"/>
                <w:bCs/>
                <w:sz w:val="28"/>
                <w:szCs w:val="28"/>
                <w:lang w:val="en-US" w:eastAsia="zh-CN"/>
              </w:rPr>
              <w:t>组织人事部部长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34" w:type="dxa"/>
            <w:noWrap w:val="0"/>
            <w:vAlign w:val="center"/>
          </w:tcPr>
          <w:p>
            <w:pPr>
              <w:adjustRightInd w:val="0"/>
              <w:snapToGrid w:val="0"/>
              <w:spacing w:line="240" w:lineRule="auto"/>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职位概述</w:t>
            </w:r>
          </w:p>
        </w:tc>
        <w:tc>
          <w:tcPr>
            <w:tcW w:w="7402" w:type="dxa"/>
            <w:noWrap w:val="0"/>
            <w:vAlign w:val="center"/>
          </w:tcPr>
          <w:p>
            <w:pPr>
              <w:adjustRightInd w:val="0"/>
              <w:snapToGrid w:val="0"/>
              <w:spacing w:line="240" w:lineRule="auto"/>
              <w:ind w:firstLine="600" w:firstLineChars="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全面负责组织人事部工作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9" w:hRule="atLeast"/>
        </w:trPr>
        <w:tc>
          <w:tcPr>
            <w:tcW w:w="1734" w:type="dxa"/>
            <w:noWrap w:val="0"/>
            <w:vAlign w:val="center"/>
          </w:tcPr>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要</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pPr>
              <w:adjustRightInd w:val="0"/>
              <w:snapToGrid w:val="0"/>
              <w:spacing w:line="240" w:lineRule="auto"/>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rPr>
              <w:t>责</w:t>
            </w:r>
          </w:p>
        </w:tc>
        <w:tc>
          <w:tcPr>
            <w:tcW w:w="7402" w:type="dxa"/>
            <w:noWrap w:val="0"/>
            <w:vAlign w:val="center"/>
          </w:tcPr>
          <w:p>
            <w:pPr>
              <w:numPr>
                <w:ilvl w:val="0"/>
                <w:numId w:val="0"/>
              </w:numPr>
              <w:adjustRightInd w:val="0"/>
              <w:snapToGrid w:val="0"/>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公司党组织的建设规划、组织发展、组织活动及党员发展、教育管理工作</w:t>
            </w:r>
            <w:r>
              <w:rPr>
                <w:rFonts w:hint="eastAsia" w:ascii="仿宋_GB2312" w:hAnsi="仿宋_GB2312" w:eastAsia="仿宋_GB2312" w:cs="仿宋_GB2312"/>
                <w:sz w:val="28"/>
                <w:szCs w:val="28"/>
              </w:rPr>
              <w:t>；</w:t>
            </w:r>
          </w:p>
          <w:p>
            <w:pPr>
              <w:numPr>
                <w:ilvl w:val="0"/>
                <w:numId w:val="0"/>
              </w:numPr>
              <w:adjustRightInd w:val="0"/>
              <w:snapToGrid w:val="0"/>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2、负责党组织中心组理论学习、民主生活会、日常学习的组织、会务工作</w:t>
            </w:r>
            <w:r>
              <w:rPr>
                <w:rFonts w:hint="eastAsia" w:ascii="仿宋_GB2312" w:hAnsi="仿宋_GB2312" w:eastAsia="仿宋_GB2312" w:cs="仿宋_GB2312"/>
                <w:sz w:val="28"/>
                <w:szCs w:val="28"/>
              </w:rPr>
              <w:t>；</w:t>
            </w:r>
          </w:p>
          <w:p>
            <w:pPr>
              <w:numPr>
                <w:ilvl w:val="0"/>
                <w:numId w:val="0"/>
              </w:numPr>
              <w:adjustRightInd w:val="0"/>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干部培养、考察、使用、考核及后备干部选拔工作；</w:t>
            </w:r>
          </w:p>
          <w:p>
            <w:pPr>
              <w:numPr>
                <w:ilvl w:val="0"/>
                <w:numId w:val="0"/>
              </w:numPr>
              <w:adjustRightInd w:val="0"/>
              <w:snapToGrid w:val="0"/>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4、负责</w:t>
            </w:r>
            <w:r>
              <w:rPr>
                <w:rFonts w:hint="eastAsia" w:ascii="仿宋_GB2312" w:hAnsi="仿宋_GB2312" w:eastAsia="仿宋_GB2312" w:cs="仿宋_GB2312"/>
                <w:sz w:val="28"/>
                <w:szCs w:val="28"/>
              </w:rPr>
              <w:t>公司</w:t>
            </w:r>
            <w:r>
              <w:rPr>
                <w:rFonts w:hint="eastAsia" w:ascii="仿宋_GB2312" w:hAnsi="仿宋_GB2312" w:eastAsia="仿宋_GB2312" w:cs="仿宋_GB2312"/>
                <w:sz w:val="28"/>
                <w:szCs w:val="28"/>
                <w:lang w:val="en-US" w:eastAsia="zh-CN"/>
              </w:rPr>
              <w:t>组织机构设置、人员编制、岗位设置工作，负责</w:t>
            </w:r>
            <w:r>
              <w:rPr>
                <w:rFonts w:hint="eastAsia" w:ascii="仿宋_GB2312" w:hAnsi="仿宋_GB2312" w:eastAsia="仿宋_GB2312" w:cs="仿宋_GB2312"/>
                <w:sz w:val="28"/>
                <w:szCs w:val="28"/>
              </w:rPr>
              <w:t>人力</w:t>
            </w:r>
            <w:r>
              <w:rPr>
                <w:rFonts w:hint="eastAsia" w:ascii="仿宋_GB2312" w:hAnsi="仿宋_GB2312" w:eastAsia="仿宋_GB2312" w:cs="仿宋_GB2312"/>
                <w:sz w:val="28"/>
                <w:szCs w:val="28"/>
                <w:lang w:val="en-US" w:eastAsia="zh-CN"/>
              </w:rPr>
              <w:t>资源</w:t>
            </w:r>
            <w:r>
              <w:rPr>
                <w:rFonts w:hint="eastAsia" w:ascii="仿宋_GB2312" w:hAnsi="仿宋_GB2312" w:eastAsia="仿宋_GB2312" w:cs="仿宋_GB2312"/>
                <w:sz w:val="28"/>
                <w:szCs w:val="28"/>
              </w:rPr>
              <w:t>管理</w:t>
            </w:r>
            <w:r>
              <w:rPr>
                <w:rFonts w:hint="eastAsia" w:ascii="仿宋_GB2312" w:hAnsi="仿宋_GB2312" w:eastAsia="仿宋_GB2312" w:cs="仿宋_GB2312"/>
                <w:sz w:val="28"/>
                <w:szCs w:val="28"/>
                <w:lang w:val="en-US" w:eastAsia="zh-CN"/>
              </w:rPr>
              <w:t>制度体系建设</w:t>
            </w:r>
            <w:r>
              <w:rPr>
                <w:rFonts w:hint="eastAsia" w:ascii="仿宋_GB2312" w:hAnsi="仿宋_GB2312" w:eastAsia="仿宋_GB2312" w:cs="仿宋_GB2312"/>
                <w:sz w:val="28"/>
                <w:szCs w:val="28"/>
                <w:lang w:eastAsia="zh-CN"/>
              </w:rPr>
              <w:t>；</w:t>
            </w:r>
          </w:p>
          <w:p>
            <w:pPr>
              <w:numPr>
                <w:ilvl w:val="0"/>
                <w:numId w:val="0"/>
              </w:numPr>
              <w:adjustRightInd w:val="0"/>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5、负责公司人才发展规划和用人计划，负责人事招聘、培训、劳资关系管理工作；</w:t>
            </w:r>
          </w:p>
          <w:p>
            <w:pPr>
              <w:numPr>
                <w:ilvl w:val="0"/>
                <w:numId w:val="0"/>
              </w:numPr>
              <w:adjustRightInd w:val="0"/>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6、负责岗位职级体系、薪酬体系、绩效考核体系规划和建设和实施；</w:t>
            </w:r>
          </w:p>
          <w:p>
            <w:pPr>
              <w:numPr>
                <w:ilvl w:val="0"/>
                <w:numId w:val="0"/>
              </w:numPr>
              <w:adjustRightInd w:val="0"/>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7、负责职称申报、专业技能人才认定组织工作；</w:t>
            </w:r>
          </w:p>
          <w:p>
            <w:pPr>
              <w:numPr>
                <w:ilvl w:val="0"/>
                <w:numId w:val="0"/>
              </w:numPr>
              <w:adjustRightInd w:val="0"/>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8、负责人力资源信息化建设工作；</w:t>
            </w:r>
          </w:p>
          <w:p>
            <w:pPr>
              <w:numPr>
                <w:ilvl w:val="0"/>
                <w:numId w:val="0"/>
              </w:numPr>
              <w:adjustRightInd w:val="0"/>
              <w:snapToGrid w:val="0"/>
              <w:spacing w:line="240" w:lineRule="auto"/>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lang w:val="en-US" w:eastAsia="zh-CN"/>
              </w:rPr>
              <w:t>9、负责其他组织人事相关工作。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734" w:type="dxa"/>
            <w:noWrap w:val="0"/>
            <w:vAlign w:val="center"/>
          </w:tcPr>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任</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pPr>
              <w:adjustRightInd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w:t>
            </w:r>
          </w:p>
          <w:p>
            <w:pPr>
              <w:adjustRightInd w:val="0"/>
              <w:snapToGrid w:val="0"/>
              <w:spacing w:line="240" w:lineRule="auto"/>
              <w:ind w:left="113" w:leftChars="0" w:right="113"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sz w:val="28"/>
                <w:szCs w:val="28"/>
              </w:rPr>
              <w:t>格</w:t>
            </w:r>
          </w:p>
        </w:tc>
        <w:tc>
          <w:tcPr>
            <w:tcW w:w="7402" w:type="dxa"/>
            <w:noWrap w:val="0"/>
            <w:vAlign w:val="center"/>
          </w:tcPr>
          <w:p>
            <w:pPr>
              <w:numPr>
                <w:ilvl w:val="0"/>
                <w:numId w:val="0"/>
              </w:numPr>
              <w:adjustRightInd w:val="0"/>
              <w:snapToGrid w:val="0"/>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kern w:val="2"/>
                <w:sz w:val="28"/>
                <w:szCs w:val="28"/>
                <w:highlight w:val="none"/>
                <w:lang w:val="en-US" w:eastAsia="zh-CN" w:bidi="ar-SA"/>
              </w:rPr>
              <w:t>50岁及以下（特别优秀者可放宽）</w:t>
            </w:r>
            <w:r>
              <w:rPr>
                <w:rFonts w:hint="eastAsia" w:ascii="仿宋_GB2312" w:hAnsi="仿宋_GB2312" w:eastAsia="仿宋_GB2312" w:cs="仿宋_GB2312"/>
                <w:sz w:val="28"/>
                <w:szCs w:val="28"/>
              </w:rPr>
              <w:t>，本科及以上学历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w:t>
            </w:r>
            <w:r>
              <w:rPr>
                <w:rFonts w:hint="eastAsia" w:ascii="仿宋_GB2312" w:hAnsi="仿宋_GB2312" w:eastAsia="仿宋_GB2312" w:cs="仿宋_GB2312"/>
                <w:sz w:val="28"/>
                <w:szCs w:val="28"/>
                <w:lang w:val="en-US" w:eastAsia="zh-CN"/>
              </w:rPr>
              <w:t>正式</w:t>
            </w:r>
            <w:r>
              <w:rPr>
                <w:rFonts w:hint="eastAsia" w:ascii="仿宋_GB2312" w:hAnsi="仿宋_GB2312" w:eastAsia="仿宋_GB2312" w:cs="仿宋_GB2312"/>
                <w:sz w:val="28"/>
                <w:szCs w:val="28"/>
              </w:rPr>
              <w:t>党员；</w:t>
            </w:r>
          </w:p>
          <w:p>
            <w:pPr>
              <w:numPr>
                <w:ilvl w:val="0"/>
                <w:numId w:val="0"/>
              </w:numPr>
              <w:adjustRightInd w:val="0"/>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2、10年及以上工作</w:t>
            </w:r>
            <w:r>
              <w:rPr>
                <w:rFonts w:hint="eastAsia" w:ascii="仿宋_GB2312" w:hAnsi="仿宋_GB2312" w:eastAsia="仿宋_GB2312" w:cs="仿宋_GB2312"/>
                <w:kern w:val="2"/>
                <w:sz w:val="28"/>
                <w:szCs w:val="28"/>
                <w:highlight w:val="none"/>
                <w:lang w:val="en-US" w:eastAsia="zh-CN" w:bidi="ar-SA"/>
              </w:rPr>
              <w:t>经历</w:t>
            </w:r>
            <w:r>
              <w:rPr>
                <w:rFonts w:hint="eastAsia" w:ascii="仿宋_GB2312" w:hAnsi="仿宋_GB2312" w:eastAsia="仿宋_GB2312" w:cs="仿宋_GB2312"/>
                <w:sz w:val="28"/>
                <w:szCs w:val="28"/>
                <w:lang w:val="en-US" w:eastAsia="zh-CN"/>
              </w:rPr>
              <w:t>，5年及以上综合管理、人力资源管理工作经验；</w:t>
            </w:r>
          </w:p>
          <w:p>
            <w:pPr>
              <w:numPr>
                <w:ilvl w:val="0"/>
                <w:numId w:val="0"/>
              </w:numPr>
              <w:adjustRightInd w:val="0"/>
              <w:snapToGrid w:val="0"/>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有政府和国有企事业单位</w:t>
            </w:r>
            <w:r>
              <w:rPr>
                <w:rFonts w:hint="eastAsia" w:ascii="仿宋_GB2312" w:hAnsi="仿宋_GB2312" w:eastAsia="仿宋_GB2312" w:cs="仿宋_GB2312"/>
                <w:sz w:val="28"/>
                <w:szCs w:val="28"/>
                <w:lang w:val="en-US" w:eastAsia="zh-CN"/>
              </w:rPr>
              <w:t>组织人事管理岗位</w:t>
            </w:r>
            <w:r>
              <w:rPr>
                <w:rFonts w:hint="eastAsia" w:ascii="仿宋_GB2312" w:hAnsi="仿宋_GB2312" w:eastAsia="仿宋_GB2312" w:cs="仿宋_GB2312"/>
                <w:sz w:val="28"/>
                <w:szCs w:val="28"/>
              </w:rPr>
              <w:t>经历者优先；</w:t>
            </w:r>
          </w:p>
          <w:p>
            <w:pPr>
              <w:numPr>
                <w:ilvl w:val="0"/>
                <w:numId w:val="0"/>
              </w:numPr>
              <w:adjustRightInd w:val="0"/>
              <w:snapToGrid w:val="0"/>
              <w:spacing w:line="240" w:lineRule="auto"/>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具有较强的沟通协调能力、公关关系处理能力、沟通能力和保密意识。  </w:t>
            </w:r>
          </w:p>
        </w:tc>
      </w:tr>
    </w:tbl>
    <w:p>
      <w:bookmarkStart w:id="0" w:name="_GoBack"/>
      <w:bookmarkEnd w:id="0"/>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78"/>
    <w:rsid w:val="0003214A"/>
    <w:rsid w:val="00035B35"/>
    <w:rsid w:val="00041526"/>
    <w:rsid w:val="000A1FCC"/>
    <w:rsid w:val="00111C19"/>
    <w:rsid w:val="00113EA5"/>
    <w:rsid w:val="001F1F8E"/>
    <w:rsid w:val="00367B70"/>
    <w:rsid w:val="00376181"/>
    <w:rsid w:val="00383983"/>
    <w:rsid w:val="004C28EB"/>
    <w:rsid w:val="00542260"/>
    <w:rsid w:val="00552219"/>
    <w:rsid w:val="005A7230"/>
    <w:rsid w:val="006323A3"/>
    <w:rsid w:val="006A6D9E"/>
    <w:rsid w:val="00782EF3"/>
    <w:rsid w:val="00796D43"/>
    <w:rsid w:val="007B0F6A"/>
    <w:rsid w:val="008D0A74"/>
    <w:rsid w:val="009551A5"/>
    <w:rsid w:val="00996301"/>
    <w:rsid w:val="009E7E33"/>
    <w:rsid w:val="00B03982"/>
    <w:rsid w:val="00BF06B3"/>
    <w:rsid w:val="00BF6E20"/>
    <w:rsid w:val="00C0250A"/>
    <w:rsid w:val="00CE3B76"/>
    <w:rsid w:val="00E40B78"/>
    <w:rsid w:val="00EE1C68"/>
    <w:rsid w:val="00F324D1"/>
    <w:rsid w:val="00F63DF4"/>
    <w:rsid w:val="00F84C9A"/>
    <w:rsid w:val="00FB0E3B"/>
    <w:rsid w:val="07E20566"/>
    <w:rsid w:val="08AC4830"/>
    <w:rsid w:val="157F0CBD"/>
    <w:rsid w:val="1662674A"/>
    <w:rsid w:val="1F67799B"/>
    <w:rsid w:val="2E714C19"/>
    <w:rsid w:val="31353362"/>
    <w:rsid w:val="34452751"/>
    <w:rsid w:val="3B3F429D"/>
    <w:rsid w:val="3DF06138"/>
    <w:rsid w:val="449B0AEC"/>
    <w:rsid w:val="4AF46404"/>
    <w:rsid w:val="4C1A69FB"/>
    <w:rsid w:val="4C4352CF"/>
    <w:rsid w:val="50C92118"/>
    <w:rsid w:val="50E464FA"/>
    <w:rsid w:val="5B5B6E95"/>
    <w:rsid w:val="69F20026"/>
    <w:rsid w:val="6BDE0726"/>
    <w:rsid w:val="71937FDA"/>
    <w:rsid w:val="7A0C54C0"/>
    <w:rsid w:val="7DB14E44"/>
    <w:rsid w:val="7F0840D6"/>
    <w:rsid w:val="7F0B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列表段落1"/>
    <w:basedOn w:val="1"/>
    <w:qFormat/>
    <w:uiPriority w:val="34"/>
    <w:pPr>
      <w:ind w:firstLine="420" w:firstLineChars="200"/>
    </w:pPr>
  </w:style>
  <w:style w:type="paragraph" w:customStyle="1" w:styleId="12">
    <w:name w:val="列出段落1"/>
    <w:basedOn w:val="1"/>
    <w:qFormat/>
    <w:uiPriority w:val="99"/>
    <w:pPr>
      <w:ind w:firstLine="420"/>
    </w:pPr>
  </w:style>
  <w:style w:type="paragraph" w:customStyle="1" w:styleId="13">
    <w:name w:val="列表段落2"/>
    <w:basedOn w:val="1"/>
    <w:qFormat/>
    <w:uiPriority w:val="99"/>
    <w:pPr>
      <w:ind w:firstLine="420" w:firstLineChars="200"/>
    </w:pPr>
  </w:style>
  <w:style w:type="paragraph" w:customStyle="1" w:styleId="14">
    <w:name w:val="列表段落21"/>
    <w:basedOn w:val="1"/>
    <w:qFormat/>
    <w:uiPriority w:val="99"/>
    <w:pPr>
      <w:ind w:firstLine="420" w:firstLineChars="200"/>
    </w:pPr>
    <w:rPr>
      <w:rFonts w:ascii="Calibri" w:hAnsi="Calibri" w:eastAsia="宋体" w:cs="Times New Roman"/>
      <w:szCs w:val="21"/>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8740-F1CB-404F-B8AE-A795EAFFE28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1612</Words>
  <Characters>9193</Characters>
  <Lines>76</Lines>
  <Paragraphs>21</Paragraphs>
  <TotalTime>0</TotalTime>
  <ScaleCrop>false</ScaleCrop>
  <LinksUpToDate>false</LinksUpToDate>
  <CharactersWithSpaces>10784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2021-03-29T03:41:00Z</dcterms:created>
  <dc:creator>孙 可可</dc:creator>
  <cp:lastModifiedBy>可可</cp:lastModifiedBy>
  <dcterms:modified xsi:type="dcterms:W3CDTF">2022-10-14T03:29:28Z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BBB62424302B47ABA90B539ABCCB9257</vt:lpwstr>
  </property>
</Properties>
</file>